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70</w:t>
      </w:r>
    </w:p>
    <w:p>
      <w:r>
        <w:t>Bundesgericht (BGE), 1982-07-20, FR</w:t>
      </w:r>
    </w:p>
    <w:p>
      <w:r>
        <w:rPr>
          <w:b/>
        </w:rPr>
        <w:t xml:space="preserve">Quelle: </w:t>
      </w:r>
      <w:r>
        <w:t>https://mcp.opencaselaw.ch/entscheid/bge_108 V 70</w:t>
      </w:r>
    </w:p>
    <w:p>
      <w:r>
        <w:t>FR: ATF 108 V 70</w:t>
      </w:r>
    </w:p>
    <w:p>
      <w:r>
        <w:t>IT: DTF 108 V 70</w:t>
      </w:r>
    </w:p>
    <w:p>
      <w:pPr>
        <w:pStyle w:val="Heading2"/>
      </w:pPr>
      <w:r>
        <w:t>Regeste</w:t>
      </w:r>
    </w:p>
    <w:p>
      <w:r>
        <w:t>Regeste Art. 30 AHVG, 51 Abs. 3 AHVV und 29bis IVV. Berechnung der Invalidenrente, die einem Versicherten zukommt, der schon früher eine solche Rente bezog, welche aber nach Abschluss eines Revisionsverfahrens aufgehoben worden war.</w:t>
      </w:r>
    </w:p>
    <w:p>
      <w:pPr>
        <w:pStyle w:val="Heading2"/>
      </w:pPr>
      <w:r>
        <w:t>Erwägungen</w:t>
      </w:r>
    </w:p>
    <w:p>
      <w:r>
        <w:rPr>
          <w:b/>
        </w:rPr>
        <w:t>E. 1</w:t>
      </w:r>
    </w:p>
    <w:p>
      <w:r>
        <w:t>La demi-rente allouée en 1974 au recourant a été calculée au départ sur la base d'un revenu annuel moyen déterminant de 24'000 francs. Ce revenu a été, à la suite des adaptations consécutives aux différentes révisions de la législation, revalorisé à 30'000 francs au 1er janvier 1975 et à 31'500 francs deux ans plus tard. Il en résultait, depuis le 1er janvier 1977, une rente de 473 francs par mois. Mais celle-ci a été supprimée par décision passée en force du 20 septembre 1977. Dans un arrêt non publié Schweizer du 25 juillet 1979, le Tribunal fédéral des assurances a jugé que la reprise d'une invalidité justifiant l'octroi d'une rente, après suppression de celle-ci, constituait un nouveau cas d'invalidité, de sorte que la rente correspondante devait être déterminée selon les données existant BGE 108 V 70 S. 71 lors de l'annonce de la nouvelle invalidité. La Cour de céans a certes relevé à cette occasion qu'une telle situation pouvait entraîner des conséquences insatisfaisantes pour l'assuré, notamment lorsque celui-ci s'est réadapté dans une mesure suffisante pour permettre la suppression des prestations d'assurance, tout en réalisant cependant un revenu inférieur à celui qu'il obtenait dans le passé; en cas d'échec de la réadaptation, il recevra une rente plus faible que celle qui lui était accordée précédemment. Mais elle a considéré que c'était l'affaire du législateur - et non du juge - de mieux régler les choses. C'est dire en l'occurrence, qu'en application de cette jurisprudence, la rente revenant au recourant à partir du 1er septembre 1979 doit être calculée selon un revenu annuel moyen, établi, conformément à l' art. 30 LAVS , en fonction du revenu total sur lequel l'intéressé a versé des cotisations jusqu'au 31 décembre 1978. Selon le calcul de la caisse - qui a procédé à juste titre à la comparaison prescrite par l' art. 51 al. 3 RAVS - il en découle un revenu annuel moyen de 25'080 francs dès le 1er janvier 1980, dont résulte une rente entière de 858 francs, ces chiffres n'étant au demeurant pas contestés en tant que tels.</w:t>
      </w:r>
    </w:p>
    <w:p>
      <w:r>
        <w:rPr>
          <w:b/>
        </w:rPr>
        <w:t>E. 2</w:t>
      </w:r>
    </w:p>
    <w:p>
      <w:r>
        <w:t>a) Le 1er janvier 1977 est entré en vigueur l' art. 29bis RAI dont la teneur est la suivante: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1er alinéa, LAI celle qui a précédé le premier octroi." Dans son préavis, l'Office fédéral des assurances sociales soutient que la situation s'est modifiée depuis l'introduction de cette règle, car on doit, à son avis, en déduire que la reprise de l'incapacité de gain ne peut plus être considérée comme la survenance d'un nouveau cas d'invalidité si les conditions posées (période d'observation de trois ans et incapacité de même origine) sont réalisées, de sorte que les bases de calcul appliquées à la rente initiale devraient l'être à nouveau. A l'appui de son opinion, l'autorité fédérale de surveillance souligne en particulier que cette réglementation permet de ne plus subordonner l'octroi de nouvelles prestations à la période d'attente de l' art. 29 al. 1 LAI . Il conviendrait donc, selon elle, d'ajouter au calcul comparatif de l' art. 51 al. 3 RAVS , qui introduit la prise en considération, ou au contraire l'abandon, des périodes d'octroi de la rente antérieure, BGE 108 V 70 S. 72 une troisième variante consistant en la reprise des bases de calcul des prestations initiales, compte tenu des adaptations intervenues entre-temps, et de retenir la solution la plus avantageuse pour l'intéressé. Cette façon de procéder conduirait, dans le cas particulier, à fixer le revenu annuel moyen à 33'000 francs au 1er janvier 1980, dont découlerait une rente de 990 francs par mois. b) Saisie de ce problème, la Cour plénière a constaté que pareille interprétation ne peut s'appuyer sur les termes clairs de la loi: le texte de l' art. 29bis RAI n'a en effet pour but que de régler un aspect particulier du délai d'attente fixé par l' art. 29 al. 1 LAI , mais ne fournit aucun élément de nature à résoudre la question qui est au centre du présent litige. On relèvera d'ailleurs que la disposition en question ne parle pas de supprimer le délai précité mais prescrit seulement de déduire de celui-ci la période de carence qui a précédé le premier octroi de rente. Au demeurant, la situation n'est guère différente de l'espèce jugée par le Tribunal fédéral des assurances concernant le calcul de la rente de vieillesse simple revenant à la femme divorcée qui, avant son divorce, avait déjà touché une telle rente puis participé à une rente de couple ( ATF 103 V 60 ). Ici également, la thèse proposée, si elle est propre à corriger certaines conséquences que l'on pourrait qualifier de choquantes, ne fait que déplacer le problème, sans fournir de réponse dans d'autres cas, peut-être tout aussi insatisfaisants que celui du recourant; elle présente en outre un risque non négligeable d'inégalité de traitement, ne serait-ce qu'eu égard au délai de trois ans durant lequel l'assuré réadapté pourrait prétendre le bénéfice de la reprise des bases de calcul de la rente initiale (arrêt non publié Maier du 20 novembre 1981). c) Il n'en reste pas moins que la situation actuelle est susceptible de pénaliser l'assuré invalide qui a pris sur lui, ou à qui l'on a imposé des mesures de réadaptation couronnées de succès, d'exercer à nouveau une activité lucrative. Mais on ne saurait pour autant en conclure que la loi contient à ce sujet une lacune qu'il appartiendrait au juge de combler, car ce dernier ne peut admettre l'existence d'une telle lacune pour la seule raison qu'il estime que l'absence de règle légale n'est pas satisfaisante. Une véritable lacune, à laquelle il doit remédier, ne peut être constatée que lorsque la loi ne fournit pas de réponse à une question de droit qui se pose inévitablement ( ATF 107 V 196 et les arrêts cités). Sans doute la loi souffre-t-elle ici d'une lacune impropre (voir ATF 106 V 70 ; MAURER, Schweizerisches Sozialversicherungsrecht, vol. I p. 230), BGE 108 V 70 S. 73 mais sa présence ne conduit pas à des résultats à ce point choquants que l'intervention du juge se justifie. C'est pourquoi la Cour plénière a décidé qu'en l'absence d'une réglementation adéquate, il convenait de s'en tenir aux principes posés dans l'arrêt Schweizer cité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